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CF" w:rsidRPr="00975E61" w:rsidRDefault="00D06ACF">
      <w:pPr>
        <w:rPr>
          <w:rStyle w:val="a4"/>
          <w:rFonts w:cs="Arial"/>
        </w:rPr>
      </w:pPr>
    </w:p>
    <w:p w:rsidR="00D06ACF" w:rsidRPr="00975E61" w:rsidRDefault="00D06ACF">
      <w:pPr>
        <w:pStyle w:val="Heading"/>
        <w:jc w:val="center"/>
        <w:rPr>
          <w:rStyle w:val="a4"/>
          <w:rFonts w:cs="Arial"/>
        </w:rPr>
      </w:pPr>
    </w:p>
    <w:p w:rsidR="00D06ACF" w:rsidRPr="00975E61" w:rsidRDefault="00D06ACF">
      <w:pPr>
        <w:pStyle w:val="Heading"/>
        <w:jc w:val="center"/>
        <w:rPr>
          <w:rStyle w:val="a4"/>
          <w:rFonts w:cs="Arial"/>
        </w:rPr>
      </w:pPr>
      <w:r w:rsidRPr="00975E61">
        <w:rPr>
          <w:rStyle w:val="a4"/>
          <w:rFonts w:cs="Arial"/>
        </w:rPr>
        <w:t>ПРАВИТЕЛЬСТВО РОССИЙСКОЙ ФЕДЕРАЦИИ</w:t>
      </w:r>
    </w:p>
    <w:p w:rsidR="00D06ACF" w:rsidRPr="00975E61" w:rsidRDefault="00D06ACF">
      <w:pPr>
        <w:pStyle w:val="Heading"/>
        <w:jc w:val="center"/>
        <w:rPr>
          <w:rStyle w:val="a4"/>
          <w:rFonts w:cs="Arial"/>
        </w:rPr>
      </w:pPr>
    </w:p>
    <w:p w:rsidR="00D06ACF" w:rsidRPr="00975E61" w:rsidRDefault="00D06ACF">
      <w:pPr>
        <w:pStyle w:val="Heading"/>
        <w:jc w:val="center"/>
        <w:rPr>
          <w:rStyle w:val="a4"/>
          <w:rFonts w:cs="Arial"/>
        </w:rPr>
      </w:pPr>
      <w:r w:rsidRPr="00975E61">
        <w:rPr>
          <w:rStyle w:val="a4"/>
          <w:rFonts w:cs="Arial"/>
        </w:rPr>
        <w:t>ПОСТАНОВЛЕНИЕ</w:t>
      </w:r>
    </w:p>
    <w:p w:rsidR="00D06ACF" w:rsidRPr="00975E61" w:rsidRDefault="00D06ACF">
      <w:pPr>
        <w:pStyle w:val="Heading"/>
        <w:jc w:val="center"/>
        <w:rPr>
          <w:rStyle w:val="a4"/>
          <w:rFonts w:cs="Arial"/>
        </w:rPr>
      </w:pPr>
    </w:p>
    <w:p w:rsidR="00D06ACF" w:rsidRPr="00975E61" w:rsidRDefault="00D06ACF">
      <w:pPr>
        <w:pStyle w:val="Heading"/>
        <w:jc w:val="center"/>
        <w:rPr>
          <w:rStyle w:val="a4"/>
          <w:rFonts w:cs="Arial"/>
        </w:rPr>
      </w:pPr>
      <w:r w:rsidRPr="00975E61">
        <w:rPr>
          <w:rStyle w:val="a4"/>
          <w:rFonts w:cs="Arial"/>
        </w:rPr>
        <w:t>от 13 августа 2006 года N 491</w:t>
      </w:r>
    </w:p>
    <w:p w:rsidR="00D06ACF" w:rsidRPr="00975E61" w:rsidRDefault="00D06ACF">
      <w:pPr>
        <w:pStyle w:val="Heading"/>
        <w:jc w:val="center"/>
        <w:rPr>
          <w:rStyle w:val="a4"/>
          <w:rFonts w:cs="Arial"/>
        </w:rPr>
      </w:pPr>
    </w:p>
    <w:p w:rsidR="00D06ACF" w:rsidRPr="00975E61" w:rsidRDefault="00D06ACF">
      <w:pPr>
        <w:pStyle w:val="Heading"/>
        <w:jc w:val="center"/>
        <w:rPr>
          <w:rStyle w:val="a4"/>
          <w:rFonts w:cs="Arial"/>
        </w:rPr>
      </w:pPr>
    </w:p>
    <w:p w:rsidR="00D06ACF" w:rsidRPr="00975E61" w:rsidRDefault="00D06ACF">
      <w:pPr>
        <w:pStyle w:val="Heading"/>
        <w:jc w:val="center"/>
        <w:rPr>
          <w:rStyle w:val="a4"/>
          <w:rFonts w:cs="Arial"/>
        </w:rPr>
      </w:pPr>
      <w:r w:rsidRPr="00975E61">
        <w:rPr>
          <w:rStyle w:val="a4"/>
          <w:rFonts w:cs="Arial"/>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В соответствии со статьями 39 и 156 Жилищного кодекса Российской Федерации Правительство Российской Федерации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постановляет:</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 Утвердить прилагаемые: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Правила содержания общего имущества в многоквартирном доме;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 Признать утратившими силу:</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постановление Правительства Российской Федерации от 17 февраля 2004 года N 89 "Об утверждении Основ ценообразования в сфере жилищно-коммунального хозяйства" (Собрание законодательства Российской Федерации, 2004, N 8, ст.671);</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постановление Правительства Российской Федерации от 30 июля 2004 года N 392 "О порядке и условиях оплаты гражданами жилья и коммунальных услуг" (Собрание законодательства Российской Федерации, 2004, N 32, ст.3339).</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 Министерству регионального развития Российской Федерации утвердить до 1 октября 2006 года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 *3)</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года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5. Министерству экономического развития и торговли Российской Федерации утвердить до 1 октября 2006 года порядок определения состава общего имущества собственников помещений в многоквартирном доме и форму документа технического учета такого имущества. *5)</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года.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7. Установить, что:</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lastRenderedPageBreak/>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года;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года.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jc w:val="right"/>
        <w:rPr>
          <w:rStyle w:val="a4"/>
          <w:rFonts w:cs="Arial"/>
        </w:rPr>
      </w:pPr>
      <w:r w:rsidRPr="00975E61">
        <w:rPr>
          <w:rStyle w:val="a4"/>
          <w:rFonts w:cs="Arial"/>
        </w:rPr>
        <w:t>Председатель Правительства</w:t>
      </w:r>
    </w:p>
    <w:p w:rsidR="00D06ACF" w:rsidRPr="00975E61" w:rsidRDefault="00D06ACF">
      <w:pPr>
        <w:jc w:val="right"/>
        <w:rPr>
          <w:rStyle w:val="a4"/>
          <w:rFonts w:cs="Arial"/>
        </w:rPr>
      </w:pPr>
      <w:r w:rsidRPr="00975E61">
        <w:rPr>
          <w:rStyle w:val="a4"/>
          <w:rFonts w:cs="Arial"/>
        </w:rPr>
        <w:t>Российской Федерации</w:t>
      </w:r>
    </w:p>
    <w:p w:rsidR="00D06ACF" w:rsidRPr="00975E61" w:rsidRDefault="00D06ACF">
      <w:pPr>
        <w:jc w:val="right"/>
        <w:rPr>
          <w:rStyle w:val="a4"/>
          <w:rFonts w:cs="Arial"/>
        </w:rPr>
      </w:pPr>
      <w:r w:rsidRPr="00975E61">
        <w:rPr>
          <w:rStyle w:val="a4"/>
          <w:rFonts w:cs="Arial"/>
        </w:rPr>
        <w:t xml:space="preserve"> М.Фрадков </w:t>
      </w:r>
    </w:p>
    <w:p w:rsidR="00D06ACF" w:rsidRPr="00975E61" w:rsidRDefault="00D06ACF">
      <w:pPr>
        <w:jc w:val="right"/>
        <w:rPr>
          <w:rStyle w:val="a4"/>
          <w:rFonts w:cs="Arial"/>
        </w:rPr>
      </w:pPr>
      <w:r w:rsidRPr="00975E61">
        <w:rPr>
          <w:rStyle w:val="a4"/>
          <w:rFonts w:cs="Arial"/>
        </w:rPr>
        <w:t xml:space="preserve">     </w:t>
      </w:r>
    </w:p>
    <w:p w:rsidR="00D06ACF" w:rsidRPr="00975E61" w:rsidRDefault="00D06ACF">
      <w:pPr>
        <w:jc w:val="right"/>
        <w:rPr>
          <w:rStyle w:val="a4"/>
          <w:rFonts w:cs="Arial"/>
        </w:rPr>
      </w:pPr>
    </w:p>
    <w:p w:rsidR="00D06ACF" w:rsidRPr="00975E61" w:rsidRDefault="00D06ACF">
      <w:pPr>
        <w:jc w:val="right"/>
        <w:rPr>
          <w:rStyle w:val="a4"/>
          <w:rFonts w:cs="Arial"/>
        </w:rPr>
      </w:pPr>
      <w:r w:rsidRPr="00975E61">
        <w:rPr>
          <w:rStyle w:val="a4"/>
          <w:rFonts w:cs="Arial"/>
        </w:rPr>
        <w:t xml:space="preserve">     </w:t>
      </w:r>
    </w:p>
    <w:p w:rsidR="00D06ACF" w:rsidRPr="00975E61" w:rsidRDefault="00D06ACF">
      <w:pPr>
        <w:jc w:val="right"/>
        <w:rPr>
          <w:rStyle w:val="a4"/>
          <w:rFonts w:cs="Arial"/>
        </w:rPr>
      </w:pPr>
      <w:r w:rsidRPr="00975E61">
        <w:rPr>
          <w:rStyle w:val="a4"/>
          <w:rFonts w:cs="Arial"/>
        </w:rPr>
        <w:t xml:space="preserve">     </w:t>
      </w:r>
    </w:p>
    <w:p w:rsidR="00D06ACF" w:rsidRPr="00975E61" w:rsidRDefault="00D06ACF">
      <w:pPr>
        <w:jc w:val="right"/>
        <w:rPr>
          <w:rStyle w:val="a4"/>
          <w:rFonts w:cs="Arial"/>
        </w:rPr>
      </w:pPr>
      <w:r w:rsidRPr="00975E61">
        <w:rPr>
          <w:rStyle w:val="a4"/>
          <w:rFonts w:cs="Arial"/>
        </w:rPr>
        <w:t>УТВЕРЖДЕНЫ</w:t>
      </w:r>
    </w:p>
    <w:p w:rsidR="00D06ACF" w:rsidRPr="00975E61" w:rsidRDefault="00D06ACF">
      <w:pPr>
        <w:jc w:val="right"/>
        <w:rPr>
          <w:rStyle w:val="a4"/>
          <w:rFonts w:cs="Arial"/>
        </w:rPr>
      </w:pPr>
      <w:r w:rsidRPr="00975E61">
        <w:rPr>
          <w:rStyle w:val="a4"/>
          <w:rFonts w:cs="Arial"/>
        </w:rPr>
        <w:t>постановлением Правительства</w:t>
      </w:r>
    </w:p>
    <w:p w:rsidR="00D06ACF" w:rsidRPr="00975E61" w:rsidRDefault="00D06ACF">
      <w:pPr>
        <w:jc w:val="right"/>
        <w:rPr>
          <w:rStyle w:val="a4"/>
          <w:rFonts w:cs="Arial"/>
        </w:rPr>
      </w:pPr>
      <w:r w:rsidRPr="00975E61">
        <w:rPr>
          <w:rStyle w:val="a4"/>
          <w:rFonts w:cs="Arial"/>
        </w:rPr>
        <w:t>Российской Федерации</w:t>
      </w:r>
    </w:p>
    <w:p w:rsidR="00D06ACF" w:rsidRPr="00975E61" w:rsidRDefault="00D06ACF">
      <w:pPr>
        <w:jc w:val="right"/>
        <w:rPr>
          <w:rStyle w:val="a4"/>
          <w:rFonts w:cs="Arial"/>
        </w:rPr>
      </w:pPr>
      <w:r w:rsidRPr="00975E61">
        <w:rPr>
          <w:rStyle w:val="a4"/>
          <w:rFonts w:cs="Arial"/>
        </w:rPr>
        <w:t xml:space="preserve">от 13 августа 2006 года N 491 </w:t>
      </w:r>
    </w:p>
    <w:p w:rsidR="00D06ACF" w:rsidRPr="00975E61" w:rsidRDefault="00D06ACF">
      <w:pPr>
        <w:pStyle w:val="Heading"/>
        <w:jc w:val="center"/>
        <w:rPr>
          <w:rStyle w:val="a4"/>
          <w:rFonts w:cs="Arial"/>
        </w:rPr>
      </w:pPr>
      <w:r w:rsidRPr="00975E61">
        <w:rPr>
          <w:rStyle w:val="a4"/>
          <w:rFonts w:cs="Arial"/>
        </w:rPr>
        <w:t xml:space="preserve">     </w:t>
      </w:r>
    </w:p>
    <w:p w:rsidR="00D06ACF" w:rsidRPr="00975E61" w:rsidRDefault="00D06ACF">
      <w:pPr>
        <w:pStyle w:val="Heading"/>
        <w:jc w:val="center"/>
        <w:rPr>
          <w:rStyle w:val="a4"/>
          <w:rFonts w:cs="Arial"/>
        </w:rPr>
      </w:pPr>
      <w:r w:rsidRPr="00975E61">
        <w:rPr>
          <w:rStyle w:val="a4"/>
          <w:rFonts w:cs="Arial"/>
        </w:rPr>
        <w:t xml:space="preserve">     </w:t>
      </w:r>
    </w:p>
    <w:p w:rsidR="00D06ACF" w:rsidRPr="00975E61" w:rsidRDefault="00D06ACF">
      <w:pPr>
        <w:pStyle w:val="Heading"/>
        <w:jc w:val="center"/>
        <w:rPr>
          <w:rStyle w:val="a4"/>
          <w:rFonts w:cs="Arial"/>
        </w:rPr>
      </w:pPr>
      <w:r w:rsidRPr="00975E61">
        <w:rPr>
          <w:rStyle w:val="a4"/>
          <w:rFonts w:cs="Arial"/>
        </w:rPr>
        <w:t>ПРАВИЛА</w:t>
      </w:r>
    </w:p>
    <w:p w:rsidR="00D06ACF" w:rsidRPr="00975E61" w:rsidRDefault="00D06ACF">
      <w:pPr>
        <w:pStyle w:val="Heading"/>
        <w:jc w:val="center"/>
        <w:rPr>
          <w:rStyle w:val="a4"/>
          <w:rFonts w:cs="Arial"/>
        </w:rPr>
      </w:pPr>
      <w:r w:rsidRPr="00975E61">
        <w:rPr>
          <w:rStyle w:val="a4"/>
          <w:rFonts w:cs="Arial"/>
        </w:rPr>
        <w:t xml:space="preserve">содержания общего имущества в многоквартирном доме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pStyle w:val="Heading"/>
        <w:jc w:val="center"/>
        <w:rPr>
          <w:rStyle w:val="a4"/>
          <w:rFonts w:cs="Arial"/>
        </w:rPr>
      </w:pPr>
      <w:r w:rsidRPr="00975E61">
        <w:rPr>
          <w:rStyle w:val="a4"/>
          <w:rFonts w:cs="Arial"/>
        </w:rPr>
        <w:t xml:space="preserve">I. Определение состава общего имущества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 Состав общего имущества определяется: *1)</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органами государственной власти - в целях контроля за содержанием общего имущества;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2. В состав общего имущества включаются: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крыши;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 *3)</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5.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*6)</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pStyle w:val="Heading"/>
        <w:jc w:val="center"/>
        <w:rPr>
          <w:rStyle w:val="a4"/>
          <w:rFonts w:cs="Arial"/>
        </w:rPr>
      </w:pPr>
      <w:r w:rsidRPr="00975E61">
        <w:rPr>
          <w:rStyle w:val="a4"/>
          <w:rFonts w:cs="Arial"/>
        </w:rPr>
        <w:t xml:space="preserve">II. Требования к содержанию общего имущества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*10)</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соблюдение характеристик надежности и безопасности многоквартирного дома;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г) соблюдение прав и законных интересов собственников помещений, а также иных лиц;</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 *10.д)</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 *11.а)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освещение помещений общего пользования; *11.б)</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в) обеспечение установленных законодательством Российской Федерации температуры и влажности в помещениях общего пользования;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г) уборку и санитарно-гигиеническую очистку помещений общего пользования, а также земельного участка, входящего в состав общего имущества;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*11.д)</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е) меры пожарной безопасности в соответствии с законодательством Российской Федерации о пожарной безопасности; *11.е)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*11.ж)</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з) текущий и капитальный ремонт, подготовку к сезонной эксплуатации и содержание общего имущества, указанного в подпунктах "а"-"д"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 *11.з)</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12. 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 *12)</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w:t>
      </w:r>
      <w:r w:rsidRPr="00975E61">
        <w:rPr>
          <w:rStyle w:val="a4"/>
          <w:rFonts w:cs="Arial"/>
        </w:rPr>
        <w:lastRenderedPageBreak/>
        <w:t>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 *13)</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15. В состав услуг и работ не входят:</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а) содержание и ремонт дверей в квартиры, дверей и окон, расположенных внутри жилого или нежилого помещения, не являющегося помещением общего пользования;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16. Надлежащее содержание общего имущества в зависимости от способа управления многоквартирным домом обеспечивается: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собственниками помещений:</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путем членства собственников помещений в указанных организациях - в соответствии с разделами V и VI Жилищного кодекса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 *18)</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w:t>
      </w:r>
      <w:r w:rsidRPr="00975E61">
        <w:rPr>
          <w:rStyle w:val="a4"/>
          <w:rFonts w:cs="Arial"/>
        </w:rPr>
        <w:lastRenderedPageBreak/>
        <w:t>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 *20)</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 *21)</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документы технического учета жилищного фонда, содержащие сведения о состоянии общего имущества;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документы (акты) о приемке результатов работ;</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 *24.г)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*25)</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26. В состав иных документов, связанных с управлением многоквартирным домом, включаются: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выписка из Реестра, содержащая сведения о зарегистрированных правах на объекты недвижимости, являющиеся общим имуществом;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pStyle w:val="Heading"/>
        <w:jc w:val="center"/>
        <w:rPr>
          <w:rStyle w:val="a4"/>
          <w:rFonts w:cs="Arial"/>
        </w:rPr>
      </w:pPr>
      <w:r w:rsidRPr="00975E61">
        <w:rPr>
          <w:rStyle w:val="a4"/>
          <w:rFonts w:cs="Arial"/>
        </w:rPr>
        <w:t xml:space="preserve">III. Несение собственниками помещений общих расходов на содержание и ремонт общего имущества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29. Плата за содержание и ремонт жилого помещения устанавливается в размере, обеспечивающем содержание общего имущества в соответствии с требованиями законодательства Российской Федерации, включая оплату расходов на содержание и ремонт внутридомовых инженерных сетей электро-, тепло-, газо- и водоснабжения, водоотведения, включая истребование задолженности с собственников помещений, не выполняющих надлежащим образом свои обязательства по оплате жилых помещений и коммунальных услуг. *29)</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30. Содержание общего имущества обеспечивается: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собственниками помещений - за счет собственных средств;</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 *30.б)</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lastRenderedPageBreak/>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35. Указанные в пунктах 31-34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38. При управлении многоквартирным домом управляющей организацией собственники помещений, </w:t>
      </w:r>
      <w:r w:rsidRPr="00975E61">
        <w:rPr>
          <w:rStyle w:val="a4"/>
          <w:rFonts w:cs="Arial"/>
        </w:rPr>
        <w:lastRenderedPageBreak/>
        <w:t>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pStyle w:val="Heading"/>
        <w:jc w:val="center"/>
        <w:rPr>
          <w:rStyle w:val="a4"/>
          <w:rFonts w:cs="Arial"/>
        </w:rPr>
      </w:pPr>
      <w:r w:rsidRPr="00975E61">
        <w:rPr>
          <w:rStyle w:val="a4"/>
          <w:rFonts w:cs="Arial"/>
        </w:rPr>
        <w:t xml:space="preserve">IV. Контроль за содержанием общего имущества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*39)</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б) проверять объемы, качество и периодичность оказания услуг и выполнения работ (в том числе путем проведения соответствующей экспертизы);</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в) требовать от ответственных лиц устранения выявленных дефектов и проверять полноту и своевременность их устранения.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 *41)</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 *42)</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jc w:val="right"/>
        <w:rPr>
          <w:rStyle w:val="a4"/>
          <w:rFonts w:cs="Arial"/>
        </w:rPr>
      </w:pPr>
      <w:r w:rsidRPr="00975E61">
        <w:rPr>
          <w:rStyle w:val="a4"/>
          <w:rFonts w:cs="Arial"/>
        </w:rPr>
        <w:t>УТВЕРЖДЕНЫ</w:t>
      </w:r>
    </w:p>
    <w:p w:rsidR="00D06ACF" w:rsidRPr="00975E61" w:rsidRDefault="00D06ACF">
      <w:pPr>
        <w:jc w:val="right"/>
        <w:rPr>
          <w:rStyle w:val="a4"/>
          <w:rFonts w:cs="Arial"/>
        </w:rPr>
      </w:pPr>
      <w:r w:rsidRPr="00975E61">
        <w:rPr>
          <w:rStyle w:val="a4"/>
          <w:rFonts w:cs="Arial"/>
        </w:rPr>
        <w:t>постановлением Правительства</w:t>
      </w:r>
    </w:p>
    <w:p w:rsidR="00D06ACF" w:rsidRPr="00975E61" w:rsidRDefault="00D06ACF">
      <w:pPr>
        <w:jc w:val="right"/>
        <w:rPr>
          <w:rStyle w:val="a4"/>
          <w:rFonts w:cs="Arial"/>
        </w:rPr>
      </w:pPr>
      <w:r w:rsidRPr="00975E61">
        <w:rPr>
          <w:rStyle w:val="a4"/>
          <w:rFonts w:cs="Arial"/>
        </w:rPr>
        <w:t>Российской Федерации</w:t>
      </w:r>
    </w:p>
    <w:p w:rsidR="00D06ACF" w:rsidRPr="00975E61" w:rsidRDefault="00D06ACF">
      <w:pPr>
        <w:jc w:val="right"/>
        <w:rPr>
          <w:rStyle w:val="a4"/>
          <w:rFonts w:cs="Arial"/>
        </w:rPr>
      </w:pPr>
      <w:r w:rsidRPr="00975E61">
        <w:rPr>
          <w:rStyle w:val="a4"/>
          <w:rFonts w:cs="Arial"/>
        </w:rPr>
        <w:t xml:space="preserve">от 13 августа 2006 года N 491 </w:t>
      </w:r>
    </w:p>
    <w:p w:rsidR="00D06ACF" w:rsidRPr="00975E61" w:rsidRDefault="00D06ACF">
      <w:pPr>
        <w:pStyle w:val="Heading"/>
        <w:jc w:val="center"/>
        <w:rPr>
          <w:rStyle w:val="a4"/>
          <w:rFonts w:cs="Arial"/>
        </w:rPr>
      </w:pPr>
      <w:r w:rsidRPr="00975E61">
        <w:rPr>
          <w:rStyle w:val="a4"/>
          <w:rFonts w:cs="Arial"/>
        </w:rPr>
        <w:t xml:space="preserve">     </w:t>
      </w:r>
    </w:p>
    <w:p w:rsidR="00D06ACF" w:rsidRPr="00975E61" w:rsidRDefault="00D06ACF">
      <w:pPr>
        <w:pStyle w:val="Heading"/>
        <w:jc w:val="center"/>
        <w:rPr>
          <w:rStyle w:val="a4"/>
          <w:rFonts w:cs="Arial"/>
        </w:rPr>
      </w:pPr>
      <w:r w:rsidRPr="00975E61">
        <w:rPr>
          <w:rStyle w:val="a4"/>
          <w:rFonts w:cs="Arial"/>
        </w:rPr>
        <w:t xml:space="preserve">     </w:t>
      </w:r>
    </w:p>
    <w:p w:rsidR="00D06ACF" w:rsidRPr="00975E61" w:rsidRDefault="00D06ACF">
      <w:pPr>
        <w:pStyle w:val="Heading"/>
        <w:jc w:val="center"/>
        <w:rPr>
          <w:rStyle w:val="a4"/>
          <w:rFonts w:cs="Arial"/>
        </w:rPr>
      </w:pPr>
      <w:r w:rsidRPr="00975E61">
        <w:rPr>
          <w:rStyle w:val="a4"/>
          <w:rFonts w:cs="Arial"/>
        </w:rPr>
        <w:t>ПРАВИЛА</w:t>
      </w:r>
    </w:p>
    <w:p w:rsidR="00D06ACF" w:rsidRPr="00975E61" w:rsidRDefault="00D06ACF">
      <w:pPr>
        <w:pStyle w:val="Heading"/>
        <w:jc w:val="center"/>
        <w:rPr>
          <w:rStyle w:val="a4"/>
          <w:rFonts w:cs="Arial"/>
        </w:rPr>
      </w:pPr>
      <w:r w:rsidRPr="00975E61">
        <w:rPr>
          <w:rStyle w:val="a4"/>
          <w:rFonts w:cs="Arial"/>
        </w:rPr>
        <w:t xml:space="preserve">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3.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*4)</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пункте 4 настоящих Правил, если это не приводит к снижению качества содержания и ремонта общего имущества. *5)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9. 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 xml:space="preserve">10. В случаях, указанных в пункте 6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 </w:t>
      </w:r>
    </w:p>
    <w:p w:rsidR="00D06ACF" w:rsidRPr="00975E61" w:rsidRDefault="00D06ACF">
      <w:pPr>
        <w:jc w:val="center"/>
        <w:rPr>
          <w:rStyle w:val="a4"/>
          <w:rFonts w:cs="Arial"/>
        </w:rPr>
      </w:pPr>
    </w:p>
    <w:p w:rsidR="00D06ACF" w:rsidRPr="00975E61" w:rsidRDefault="00AE4231">
      <w:pPr>
        <w:jc w:val="center"/>
        <w:rPr>
          <w:rStyle w:val="a4"/>
          <w:rFonts w:cs="Arial"/>
        </w:rPr>
      </w:pPr>
      <w:r>
        <w:rPr>
          <w:i/>
          <w:iCs/>
          <w:noProof/>
        </w:rPr>
        <w:drawing>
          <wp:inline distT="0" distB="0" distL="0" distR="0">
            <wp:extent cx="972820" cy="534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972820" cy="534035"/>
                    </a:xfrm>
                    <a:prstGeom prst="rect">
                      <a:avLst/>
                    </a:prstGeom>
                    <a:noFill/>
                    <a:ln w="9525">
                      <a:noFill/>
                      <a:miter lim="800000"/>
                      <a:headEnd/>
                      <a:tailEnd/>
                    </a:ln>
                  </pic:spPr>
                </pic:pic>
              </a:graphicData>
            </a:graphic>
          </wp:inline>
        </w:drawing>
      </w:r>
      <w:r w:rsidR="00D06ACF" w:rsidRPr="00975E61">
        <w:rPr>
          <w:rStyle w:val="a4"/>
          <w:rFonts w:cs="Arial"/>
        </w:rPr>
        <w:t xml:space="preserve"> ,</w:t>
      </w:r>
    </w:p>
    <w:p w:rsidR="00D06ACF" w:rsidRPr="00975E61" w:rsidRDefault="00D06ACF">
      <w:pPr>
        <w:ind w:firstLine="225"/>
        <w:jc w:val="both"/>
        <w:rPr>
          <w:rStyle w:val="a4"/>
          <w:rFonts w:cs="Arial"/>
        </w:rPr>
      </w:pPr>
      <w:r w:rsidRPr="00975E61">
        <w:rPr>
          <w:rStyle w:val="a4"/>
          <w:rFonts w:cs="Arial"/>
        </w:rPr>
        <w:t>где:</w:t>
      </w:r>
    </w:p>
    <w:p w:rsidR="00D06ACF" w:rsidRPr="00975E61" w:rsidRDefault="00D06ACF">
      <w:pPr>
        <w:ind w:firstLine="225"/>
        <w:jc w:val="both"/>
        <w:rPr>
          <w:rStyle w:val="a4"/>
          <w:rFonts w:cs="Arial"/>
        </w:rPr>
      </w:pPr>
    </w:p>
    <w:p w:rsidR="00D06ACF" w:rsidRPr="00975E61" w:rsidRDefault="00AE4231">
      <w:pPr>
        <w:ind w:firstLine="225"/>
        <w:jc w:val="both"/>
        <w:rPr>
          <w:rStyle w:val="a4"/>
          <w:rFonts w:cs="Arial"/>
        </w:rPr>
      </w:pPr>
      <w:r>
        <w:rPr>
          <w:i/>
          <w:iCs/>
          <w:noProof/>
        </w:rPr>
        <w:drawing>
          <wp:inline distT="0" distB="0" distL="0" distR="0">
            <wp:extent cx="307340" cy="292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07340" cy="292735"/>
                    </a:xfrm>
                    <a:prstGeom prst="rect">
                      <a:avLst/>
                    </a:prstGeom>
                    <a:noFill/>
                    <a:ln w="9525">
                      <a:noFill/>
                      <a:miter lim="800000"/>
                      <a:headEnd/>
                      <a:tailEnd/>
                    </a:ln>
                  </pic:spPr>
                </pic:pic>
              </a:graphicData>
            </a:graphic>
          </wp:inline>
        </w:drawing>
      </w:r>
      <w:r w:rsidR="00D06ACF" w:rsidRPr="00975E61">
        <w:rPr>
          <w:rStyle w:val="a4"/>
          <w:rFonts w:cs="Arial"/>
        </w:rPr>
        <w:t>- размер уменьшения платы за содержание и ремонт жилого помещения (рублей);</w:t>
      </w:r>
    </w:p>
    <w:p w:rsidR="00D06ACF" w:rsidRPr="00975E61" w:rsidRDefault="00D06ACF">
      <w:pPr>
        <w:ind w:firstLine="225"/>
        <w:jc w:val="both"/>
        <w:rPr>
          <w:rStyle w:val="a4"/>
          <w:rFonts w:cs="Arial"/>
        </w:rPr>
      </w:pPr>
    </w:p>
    <w:p w:rsidR="00D06ACF" w:rsidRPr="00975E61" w:rsidRDefault="00AE4231">
      <w:pPr>
        <w:ind w:firstLine="225"/>
        <w:jc w:val="both"/>
        <w:rPr>
          <w:rStyle w:val="a4"/>
          <w:rFonts w:cs="Arial"/>
        </w:rPr>
      </w:pPr>
      <w:r>
        <w:rPr>
          <w:i/>
          <w:iCs/>
          <w:noProof/>
        </w:rPr>
        <w:drawing>
          <wp:inline distT="0" distB="0" distL="0" distR="0">
            <wp:extent cx="153670" cy="263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53670" cy="263525"/>
                    </a:xfrm>
                    <a:prstGeom prst="rect">
                      <a:avLst/>
                    </a:prstGeom>
                    <a:noFill/>
                    <a:ln w="9525">
                      <a:noFill/>
                      <a:miter lim="800000"/>
                      <a:headEnd/>
                      <a:tailEnd/>
                    </a:ln>
                  </pic:spPr>
                </pic:pic>
              </a:graphicData>
            </a:graphic>
          </wp:inline>
        </w:drawing>
      </w:r>
      <w:r w:rsidR="00D06ACF" w:rsidRPr="00975E61">
        <w:rPr>
          <w:rStyle w:val="a4"/>
          <w:rFonts w:cs="Arial"/>
        </w:rPr>
        <w:t xml:space="preserve"> - стоимость соответствующей услуги или работы в составе ежемесячной платы за содержание и </w:t>
      </w:r>
      <w:r w:rsidR="00D06ACF" w:rsidRPr="00975E61">
        <w:rPr>
          <w:rStyle w:val="a4"/>
          <w:rFonts w:cs="Arial"/>
        </w:rPr>
        <w:lastRenderedPageBreak/>
        <w:t>ремонт жилого помещения (рублей);</w:t>
      </w:r>
    </w:p>
    <w:p w:rsidR="00D06ACF" w:rsidRPr="00975E61" w:rsidRDefault="00D06ACF">
      <w:pPr>
        <w:ind w:firstLine="225"/>
        <w:jc w:val="both"/>
        <w:rPr>
          <w:rStyle w:val="a4"/>
          <w:rFonts w:cs="Arial"/>
        </w:rPr>
      </w:pPr>
    </w:p>
    <w:p w:rsidR="00D06ACF" w:rsidRPr="00975E61" w:rsidRDefault="00AE4231">
      <w:pPr>
        <w:ind w:firstLine="225"/>
        <w:jc w:val="both"/>
        <w:rPr>
          <w:rStyle w:val="a4"/>
          <w:rFonts w:cs="Arial"/>
        </w:rPr>
      </w:pPr>
      <w:r>
        <w:rPr>
          <w:i/>
          <w:iCs/>
          <w:noProof/>
        </w:rPr>
        <w:drawing>
          <wp:inline distT="0" distB="0" distL="0" distR="0">
            <wp:extent cx="197485" cy="2781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97485" cy="278130"/>
                    </a:xfrm>
                    <a:prstGeom prst="rect">
                      <a:avLst/>
                    </a:prstGeom>
                    <a:noFill/>
                    <a:ln w="9525">
                      <a:noFill/>
                      <a:miter lim="800000"/>
                      <a:headEnd/>
                      <a:tailEnd/>
                    </a:ln>
                  </pic:spPr>
                </pic:pic>
              </a:graphicData>
            </a:graphic>
          </wp:inline>
        </w:drawing>
      </w:r>
      <w:r w:rsidR="00D06ACF" w:rsidRPr="00975E61">
        <w:rPr>
          <w:rStyle w:val="a4"/>
          <w:rFonts w:cs="Arial"/>
        </w:rPr>
        <w:t xml:space="preserve"> - количество календарных дней в месяце;</w:t>
      </w:r>
    </w:p>
    <w:p w:rsidR="00D06ACF" w:rsidRPr="00975E61" w:rsidRDefault="00D06ACF">
      <w:pPr>
        <w:ind w:firstLine="225"/>
        <w:jc w:val="both"/>
        <w:rPr>
          <w:rStyle w:val="a4"/>
          <w:rFonts w:cs="Arial"/>
        </w:rPr>
      </w:pPr>
    </w:p>
    <w:p w:rsidR="00D06ACF" w:rsidRPr="00975E61" w:rsidRDefault="00AE4231">
      <w:pPr>
        <w:ind w:firstLine="225"/>
        <w:jc w:val="both"/>
        <w:rPr>
          <w:rStyle w:val="a4"/>
          <w:rFonts w:cs="Arial"/>
        </w:rPr>
      </w:pPr>
      <w:r>
        <w:rPr>
          <w:i/>
          <w:iCs/>
          <w:noProof/>
        </w:rPr>
        <w:drawing>
          <wp:inline distT="0" distB="0" distL="0" distR="0">
            <wp:extent cx="212090"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12090" cy="278130"/>
                    </a:xfrm>
                    <a:prstGeom prst="rect">
                      <a:avLst/>
                    </a:prstGeom>
                    <a:noFill/>
                    <a:ln w="9525">
                      <a:noFill/>
                      <a:miter lim="800000"/>
                      <a:headEnd/>
                      <a:tailEnd/>
                    </a:ln>
                  </pic:spPr>
                </pic:pic>
              </a:graphicData>
            </a:graphic>
          </wp:inline>
        </w:drawing>
      </w:r>
      <w:r w:rsidR="00D06ACF" w:rsidRPr="00975E61">
        <w:rPr>
          <w:rStyle w:val="a4"/>
          <w:rFonts w:cs="Arial"/>
        </w:rPr>
        <w:t xml:space="preserve"> -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11. При управлении многоквартирным домом управляющей организацией стоимость отдельных услуг или работ (P</w:t>
      </w:r>
      <w:r w:rsidR="00AE4231">
        <w:rPr>
          <w:i/>
          <w:iCs/>
          <w:noProof/>
        </w:rPr>
        <w:drawing>
          <wp:inline distT="0" distB="0" distL="0" distR="0">
            <wp:extent cx="102235" cy="2413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02235" cy="241300"/>
                    </a:xfrm>
                    <a:prstGeom prst="rect">
                      <a:avLst/>
                    </a:prstGeom>
                    <a:noFill/>
                    <a:ln w="9525">
                      <a:noFill/>
                      <a:miter lim="800000"/>
                      <a:headEnd/>
                      <a:tailEnd/>
                    </a:ln>
                  </pic:spPr>
                </pic:pic>
              </a:graphicData>
            </a:graphic>
          </wp:inline>
        </w:drawing>
      </w:r>
      <w:r w:rsidRPr="00975E61">
        <w:rPr>
          <w:rStyle w:val="a4"/>
          <w:rFonts w:cs="Arial"/>
        </w:rPr>
        <w:t xml:space="preserve">),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(P</w:t>
      </w:r>
      <w:r w:rsidR="00AE4231">
        <w:rPr>
          <w:i/>
          <w:iCs/>
          <w:noProof/>
        </w:rPr>
        <w:drawing>
          <wp:inline distT="0" distB="0" distL="0" distR="0">
            <wp:extent cx="102235" cy="2413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02235" cy="241300"/>
                    </a:xfrm>
                    <a:prstGeom prst="rect">
                      <a:avLst/>
                    </a:prstGeom>
                    <a:noFill/>
                    <a:ln w="9525">
                      <a:noFill/>
                      <a:miter lim="800000"/>
                      <a:headEnd/>
                      <a:tailEnd/>
                    </a:ln>
                  </pic:spPr>
                </pic:pic>
              </a:graphicData>
            </a:graphic>
          </wp:inline>
        </w:drawing>
      </w:r>
      <w:r w:rsidRPr="00975E61">
        <w:rPr>
          <w:rStyle w:val="a4"/>
          <w:rFonts w:cs="Arial"/>
        </w:rPr>
        <w:t xml:space="preserve">), содержащиеся в смете, направленной уполномоченным органом местного самоуправления в соответствии с пунктом 11 настоящих Правил. </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r w:rsidRPr="00975E61">
        <w:rPr>
          <w:rStyle w:val="a4"/>
          <w:rFonts w:cs="Arial"/>
        </w:rPr>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ind w:firstLine="225"/>
        <w:jc w:val="both"/>
        <w:rPr>
          <w:rStyle w:val="a4"/>
          <w:rFonts w:cs="Arial"/>
        </w:rPr>
      </w:pPr>
    </w:p>
    <w:p w:rsidR="00D06ACF" w:rsidRPr="00975E61" w:rsidRDefault="00D06ACF">
      <w:pPr>
        <w:rPr>
          <w:rStyle w:val="a4"/>
          <w:rFonts w:cs="Arial"/>
        </w:rPr>
      </w:pPr>
      <w:r w:rsidRPr="00975E61">
        <w:rPr>
          <w:rStyle w:val="a4"/>
          <w:rFonts w:cs="Arial"/>
        </w:rPr>
        <w:t>Текст документа сверен по:</w:t>
      </w:r>
    </w:p>
    <w:p w:rsidR="00D06ACF" w:rsidRPr="00975E61" w:rsidRDefault="00D06ACF">
      <w:pPr>
        <w:rPr>
          <w:rStyle w:val="a4"/>
          <w:rFonts w:cs="Arial"/>
        </w:rPr>
      </w:pPr>
      <w:r w:rsidRPr="00975E61">
        <w:rPr>
          <w:rStyle w:val="a4"/>
          <w:rFonts w:cs="Arial"/>
        </w:rPr>
        <w:t>Собрание законодательства</w:t>
      </w:r>
    </w:p>
    <w:p w:rsidR="00D06ACF" w:rsidRPr="00975E61" w:rsidRDefault="00D06ACF">
      <w:pPr>
        <w:rPr>
          <w:rStyle w:val="a4"/>
          <w:rFonts w:cs="Arial"/>
        </w:rPr>
      </w:pPr>
      <w:r w:rsidRPr="00975E61">
        <w:rPr>
          <w:rStyle w:val="a4"/>
          <w:rFonts w:cs="Arial"/>
        </w:rPr>
        <w:t>Российской Федерации,</w:t>
      </w:r>
    </w:p>
    <w:p w:rsidR="00D06ACF" w:rsidRPr="00975E61" w:rsidRDefault="00D06ACF">
      <w:pPr>
        <w:rPr>
          <w:rStyle w:val="a4"/>
          <w:rFonts w:cs="Arial"/>
        </w:rPr>
      </w:pPr>
      <w:r w:rsidRPr="00975E61">
        <w:rPr>
          <w:rStyle w:val="a4"/>
          <w:rFonts w:cs="Arial"/>
        </w:rPr>
        <w:t xml:space="preserve">N 34, 21.08.2006, ст.3680 </w:t>
      </w:r>
    </w:p>
    <w:p w:rsidR="00D06ACF" w:rsidRPr="00975E61" w:rsidRDefault="00D06ACF">
      <w:pPr>
        <w:ind w:firstLine="225"/>
        <w:jc w:val="both"/>
        <w:rPr>
          <w:rStyle w:val="a4"/>
          <w:rFonts w:cs="Arial"/>
        </w:rPr>
      </w:pPr>
    </w:p>
    <w:sectPr w:rsidR="00D06ACF" w:rsidRPr="00975E6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77050"/>
    <w:rsid w:val="00336B61"/>
    <w:rsid w:val="00725C4D"/>
    <w:rsid w:val="00975E61"/>
    <w:rsid w:val="00AE4231"/>
    <w:rsid w:val="00C77050"/>
    <w:rsid w:val="00D0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sz w:val="20"/>
      <w:szCs w:val="20"/>
      <w:u w:val="single"/>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20"/>
      <w:szCs w:val="20"/>
      <w:u w:val="single"/>
    </w:rPr>
  </w:style>
  <w:style w:type="character" w:styleId="a4">
    <w:name w:val="Emphasis"/>
    <w:basedOn w:val="a0"/>
    <w:uiPriority w:val="20"/>
    <w:qFormat/>
    <w:rsid w:val="00975E61"/>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6112</Words>
  <Characters>34845</Characters>
  <Application>Microsoft Office Word</Application>
  <DocSecurity>0</DocSecurity>
  <Lines>290</Lines>
  <Paragraphs>81</Paragraphs>
  <ScaleCrop>false</ScaleCrop>
  <Company/>
  <LinksUpToDate>false</LinksUpToDate>
  <CharactersWithSpaces>40876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2</cp:revision>
  <dcterms:created xsi:type="dcterms:W3CDTF">2017-03-23T11:56:00Z</dcterms:created>
  <dcterms:modified xsi:type="dcterms:W3CDTF">2017-03-23T11:56:00Z</dcterms:modified>
</cp:coreProperties>
</file>